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1186180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1151890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ind w:left="4460"/>
        <w:spacing w:after="0"/>
        <w:rPr>
          <w:sz w:val="20"/>
          <w:szCs w:val="20"/>
          <w:color w:val="auto"/>
        </w:rPr>
      </w:pPr>
      <w:r>
        <w:rPr>
          <w:rFonts w:ascii="Arial" w:cs="Arial" w:eastAsia="Arial" w:hAnsi="Arial"/>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9" w:lineRule="exact"/>
        <w:rPr>
          <w:sz w:val="24"/>
          <w:szCs w:val="24"/>
          <w:color w:val="auto"/>
        </w:rPr>
      </w:pPr>
    </w:p>
    <w:p>
      <w:pPr>
        <w:ind w:left="4460"/>
        <w:spacing w:after="0"/>
        <w:rPr>
          <w:sz w:val="20"/>
          <w:szCs w:val="20"/>
          <w:color w:val="auto"/>
        </w:rPr>
      </w:pPr>
      <w:r>
        <w:rPr>
          <w:rFonts w:ascii="Arial" w:cs="Arial" w:eastAsia="Arial" w:hAnsi="Arial"/>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 xml:space="preserve">Date of Report (Date of earliest event reported): </w:t>
      </w:r>
      <w:r>
        <w:rPr>
          <w:rFonts w:ascii="Arial" w:cs="Arial" w:eastAsia="Arial" w:hAnsi="Arial"/>
          <w:sz w:val="18"/>
          <w:szCs w:val="18"/>
          <w:color w:val="auto"/>
        </w:rPr>
        <w:t>May 6, 2022</w:t>
      </w:r>
    </w:p>
    <w:p>
      <w:pPr>
        <w:spacing w:after="0" w:line="26" w:lineRule="exact"/>
        <w:rPr>
          <w:sz w:val="24"/>
          <w:szCs w:val="24"/>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ASCEND WELLNESS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74"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Delaware</w:t>
            </w:r>
          </w:p>
        </w:tc>
        <w:tc>
          <w:tcPr>
            <w:tcW w:w="272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333-254800</w:t>
            </w: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40" w:type="dxa"/>
            <w:vAlign w:val="bottom"/>
          </w:tcPr>
          <w:p>
            <w:pPr>
              <w:jc w:val="right"/>
              <w:ind w:right="1130"/>
              <w:spacing w:after="0"/>
              <w:rPr>
                <w:sz w:val="20"/>
                <w:szCs w:val="20"/>
                <w:color w:val="auto"/>
              </w:rPr>
            </w:pPr>
            <w:r>
              <w:rPr>
                <w:rFonts w:ascii="Arial" w:cs="Arial" w:eastAsia="Arial" w:hAnsi="Arial"/>
                <w:sz w:val="18"/>
                <w:szCs w:val="18"/>
                <w:b w:val="1"/>
                <w:bCs w:val="1"/>
                <w:color w:val="auto"/>
              </w:rPr>
              <w:t>83-0602006</w:t>
            </w:r>
          </w:p>
        </w:tc>
        <w:tc>
          <w:tcPr>
            <w:tcW w:w="20" w:type="dxa"/>
            <w:vAlign w:val="bottom"/>
          </w:tcPr>
          <w:p>
            <w:pPr>
              <w:spacing w:after="0"/>
              <w:rPr>
                <w:sz w:val="20"/>
                <w:szCs w:val="20"/>
                <w:color w:val="auto"/>
              </w:rPr>
            </w:pPr>
          </w:p>
        </w:tc>
      </w:tr>
      <w:tr>
        <w:trPr>
          <w:trHeight w:val="169"/>
        </w:trPr>
        <w:tc>
          <w:tcPr>
            <w:tcW w:w="20" w:type="dxa"/>
            <w:vAlign w:val="bottom"/>
            <w:tcBorders>
              <w:top w:val="single" w:sz="8" w:color="auto"/>
            </w:tcBorders>
          </w:tcPr>
          <w:p>
            <w:pPr>
              <w:spacing w:after="0"/>
              <w:rPr>
                <w:sz w:val="14"/>
                <w:szCs w:val="14"/>
                <w:color w:val="auto"/>
              </w:rPr>
            </w:pPr>
          </w:p>
        </w:tc>
        <w:tc>
          <w:tcPr>
            <w:tcW w:w="3340" w:type="dxa"/>
            <w:vAlign w:val="bottom"/>
            <w:tcBorders>
              <w:top w:val="single" w:sz="8" w:color="auto"/>
            </w:tcBorders>
          </w:tcPr>
          <w:p>
            <w:pPr>
              <w:jc w:val="center"/>
              <w:spacing w:after="0" w:line="169" w:lineRule="exact"/>
              <w:rPr>
                <w:sz w:val="20"/>
                <w:szCs w:val="20"/>
                <w:color w:val="auto"/>
              </w:rPr>
            </w:pPr>
            <w:r>
              <w:rPr>
                <w:rFonts w:ascii="Arial" w:cs="Arial" w:eastAsia="Arial" w:hAnsi="Arial"/>
                <w:sz w:val="18"/>
                <w:szCs w:val="18"/>
                <w:color w:val="auto"/>
                <w:w w:val="92"/>
              </w:rPr>
              <w:t>(State or other jurisdiction of incorporation or</w:t>
            </w:r>
          </w:p>
        </w:tc>
        <w:tc>
          <w:tcPr>
            <w:tcW w:w="100" w:type="dxa"/>
            <w:vAlign w:val="bottom"/>
          </w:tcPr>
          <w:p>
            <w:pPr>
              <w:spacing w:after="0"/>
              <w:rPr>
                <w:sz w:val="14"/>
                <w:szCs w:val="14"/>
                <w:color w:val="auto"/>
              </w:rPr>
            </w:pPr>
          </w:p>
        </w:tc>
        <w:tc>
          <w:tcPr>
            <w:tcW w:w="4320" w:type="dxa"/>
            <w:vAlign w:val="bottom"/>
            <w:tcBorders>
              <w:top w:val="single" w:sz="8" w:color="auto"/>
            </w:tcBorders>
            <w:gridSpan w:val="3"/>
          </w:tcPr>
          <w:p>
            <w:pPr>
              <w:jc w:val="center"/>
              <w:spacing w:after="0" w:line="169" w:lineRule="exact"/>
              <w:rPr>
                <w:sz w:val="20"/>
                <w:szCs w:val="20"/>
                <w:color w:val="auto"/>
              </w:rPr>
            </w:pPr>
            <w:r>
              <w:rPr>
                <w:rFonts w:ascii="Arial" w:cs="Arial" w:eastAsia="Arial" w:hAnsi="Arial"/>
                <w:sz w:val="18"/>
                <w:szCs w:val="18"/>
                <w:color w:val="auto"/>
                <w:w w:val="93"/>
              </w:rPr>
              <w:t>(Commission File Number)</w:t>
            </w:r>
          </w:p>
        </w:tc>
        <w:tc>
          <w:tcPr>
            <w:tcW w:w="100" w:type="dxa"/>
            <w:vAlign w:val="bottom"/>
          </w:tcPr>
          <w:p>
            <w:pPr>
              <w:spacing w:after="0"/>
              <w:rPr>
                <w:sz w:val="14"/>
                <w:szCs w:val="14"/>
                <w:color w:val="auto"/>
              </w:rPr>
            </w:pPr>
          </w:p>
        </w:tc>
        <w:tc>
          <w:tcPr>
            <w:tcW w:w="3360" w:type="dxa"/>
            <w:vAlign w:val="bottom"/>
            <w:tcBorders>
              <w:top w:val="single" w:sz="8" w:color="auto"/>
            </w:tcBorders>
            <w:gridSpan w:val="2"/>
          </w:tcPr>
          <w:p>
            <w:pPr>
              <w:jc w:val="center"/>
              <w:spacing w:after="0" w:line="169" w:lineRule="exact"/>
              <w:rPr>
                <w:sz w:val="20"/>
                <w:szCs w:val="20"/>
                <w:color w:val="auto"/>
              </w:rPr>
            </w:pPr>
            <w:r>
              <w:rPr>
                <w:rFonts w:ascii="Arial" w:cs="Arial" w:eastAsia="Arial" w:hAnsi="Arial"/>
                <w:sz w:val="18"/>
                <w:szCs w:val="18"/>
                <w:color w:val="auto"/>
                <w:w w:val="93"/>
              </w:rPr>
              <w:t>(I.R.S. Employer Identification No.)</w:t>
            </w:r>
          </w:p>
        </w:tc>
      </w:tr>
      <w:tr>
        <w:trPr>
          <w:trHeight w:val="230"/>
        </w:trPr>
        <w:tc>
          <w:tcPr>
            <w:tcW w:w="20" w:type="dxa"/>
            <w:vAlign w:val="bottom"/>
          </w:tcPr>
          <w:p>
            <w:pPr>
              <w:spacing w:after="0"/>
              <w:rPr>
                <w:sz w:val="20"/>
                <w:szCs w:val="20"/>
                <w:color w:val="auto"/>
              </w:rPr>
            </w:pPr>
          </w:p>
        </w:tc>
        <w:tc>
          <w:tcPr>
            <w:tcW w:w="34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organization)</w:t>
            </w:r>
          </w:p>
        </w:tc>
        <w:tc>
          <w:tcPr>
            <w:tcW w:w="16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32"/>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4"/>
          </w:tcPr>
          <w:p>
            <w:pPr>
              <w:jc w:val="center"/>
              <w:ind w:right="80"/>
              <w:spacing w:after="0"/>
              <w:rPr>
                <w:sz w:val="20"/>
                <w:szCs w:val="20"/>
                <w:color w:val="auto"/>
              </w:rPr>
            </w:pPr>
            <w:r>
              <w:rPr>
                <w:rFonts w:ascii="Arial" w:cs="Arial" w:eastAsia="Arial" w:hAnsi="Arial"/>
                <w:sz w:val="18"/>
                <w:szCs w:val="18"/>
                <w:b w:val="1"/>
                <w:bCs w:val="1"/>
                <w:color w:val="auto"/>
                <w:w w:val="89"/>
              </w:rPr>
              <w:t>1411 Broadway</w:t>
            </w:r>
          </w:p>
        </w:tc>
        <w:tc>
          <w:tcPr>
            <w:tcW w:w="3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2820" w:type="dxa"/>
            <w:vAlign w:val="bottom"/>
            <w:gridSpan w:val="3"/>
          </w:tcPr>
          <w:p>
            <w:pPr>
              <w:jc w:val="center"/>
              <w:ind w:right="1700"/>
              <w:spacing w:after="0"/>
              <w:rPr>
                <w:sz w:val="20"/>
                <w:szCs w:val="20"/>
                <w:color w:val="auto"/>
              </w:rPr>
            </w:pPr>
            <w:r>
              <w:rPr>
                <w:rFonts w:ascii="Arial" w:cs="Arial" w:eastAsia="Arial" w:hAnsi="Arial"/>
                <w:sz w:val="18"/>
                <w:szCs w:val="18"/>
                <w:b w:val="1"/>
                <w:bCs w:val="1"/>
                <w:color w:val="auto"/>
                <w:w w:val="91"/>
              </w:rPr>
              <w:t>16th Floor</w:t>
            </w:r>
          </w:p>
        </w:tc>
        <w:tc>
          <w:tcPr>
            <w:tcW w:w="33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2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92"/>
              </w:rPr>
              <w:t>New York, NY 10018</w:t>
            </w: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24"/>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20" w:type="dxa"/>
            <w:vAlign w:val="bottom"/>
            <w:gridSpan w:val="4"/>
          </w:tcPr>
          <w:p>
            <w:pPr>
              <w:jc w:val="center"/>
              <w:ind w:right="100"/>
              <w:spacing w:after="0"/>
              <w:rPr>
                <w:sz w:val="20"/>
                <w:szCs w:val="20"/>
                <w:color w:val="auto"/>
              </w:rPr>
            </w:pPr>
            <w:r>
              <w:rPr>
                <w:rFonts w:ascii="Arial" w:cs="Arial" w:eastAsia="Arial" w:hAnsi="Arial"/>
                <w:sz w:val="18"/>
                <w:szCs w:val="18"/>
                <w:color w:val="auto"/>
                <w:w w:val="92"/>
              </w:rPr>
              <w:t>(Address of principal executive offices)</w:t>
            </w:r>
          </w:p>
        </w:tc>
        <w:tc>
          <w:tcPr>
            <w:tcW w:w="33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45"/>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89"/>
              </w:rPr>
              <w:t>(646) 661-7600</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20" w:type="dxa"/>
            <w:vAlign w:val="bottom"/>
            <w:gridSpan w:val="4"/>
          </w:tcPr>
          <w:p>
            <w:pPr>
              <w:jc w:val="center"/>
              <w:ind w:right="100"/>
              <w:spacing w:after="0"/>
              <w:rPr>
                <w:sz w:val="20"/>
                <w:szCs w:val="20"/>
                <w:color w:val="auto"/>
              </w:rPr>
            </w:pPr>
            <w:r>
              <w:rPr>
                <w:rFonts w:ascii="Arial" w:cs="Arial" w:eastAsia="Arial" w:hAnsi="Arial"/>
                <w:sz w:val="18"/>
                <w:szCs w:val="18"/>
                <w:color w:val="auto"/>
                <w:w w:val="89"/>
              </w:rPr>
              <w:t>(Registrant’s telephone number, including area code)</w:t>
            </w: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bl>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347"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97"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5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27"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1089660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line="194"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On May 6, 2022, the stockholders of Ascend Wellness Holdings, Inc. (the “Company”) approved the adoption of the Company’s 2021 Stock Incentive Plan and the Company’s 2021 Employee Stock Purchase Plan. The terms of the 2021 Stock Incentive Plan and the 2021 Employee Stock Purchase Plan, copies of which are filed as Appendix A and Appendix B to the Company's Definitive Proxy Statement on Schedule 14A filed on March 28, 2022, and the descriptions of each, contained in Proposals 3 and 4 of such proxy statement, are incorporated herein by reference in their entirety.</w:t>
      </w:r>
    </w:p>
    <w:p>
      <w:pPr>
        <w:spacing w:after="0" w:line="153"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7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On May 6, 2022, the Company held its 2022 Annual Meeting of Stockholders (the “Annual Meeting”), at which the Company’s stockholders voted on the following matters, which are described in detail in the Company’s Definitive Proxy Statement on Schedule 14A filed with the Securities and Exchange Commission on March 28, 2022 (the “Proxy Statement”): (i) to elect five (5) directors to serve on the Company’s board of directors (the “Board”) until the 2023 Annual Meeting of Stockholders or until their successors are duly elected and qualified (“Proposal 1”); (ii) to ratify the appointment of Macias Gini &amp; O'Connell LLP as the independent registered public accounting firm of the Company for the fiscal year ending December 31, 2022 (“Proposal 2”); (iii) to approve the adoption of the Company’s 2021 Stock Incentive Plan (“Proposal 3”); and (iv) to approve the adoption of the Company’s 2021 Employee Stock Purchase Plan (“Proposal 4”). At the Annual Meeting, the holders of 129,152,860 votes of the Company’s common stock were represented in person or by proxy, constituting a quorum.</w:t>
      </w:r>
    </w:p>
    <w:p>
      <w:pPr>
        <w:spacing w:after="0" w:line="12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Set forth below are the final voting results with respect to each of the proposals acted upon at the Annual Meeting, including the number of votes cast for and against (or withheld), and the number of abstentions and broker non-votes with respect to each such proposal.</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Proposal 1: Election of Directors</w:t>
      </w:r>
    </w:p>
    <w:p>
      <w:pPr>
        <w:spacing w:after="0" w:line="17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following five (5) nominees, unanimously recommended by the Board, each of whom were named in the Proxy Statement, were elected to serve on the Board to hold office until the 2023 Annual Meeting of Stockholders or until their successors are duly elected and qualified, based on the following votes:</w:t>
      </w:r>
    </w:p>
    <w:p>
      <w:pPr>
        <w:spacing w:after="0" w:line="170"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2620" w:type="dxa"/>
            <w:vAlign w:val="bottom"/>
            <w:gridSpan w:val="2"/>
          </w:tcPr>
          <w:p>
            <w:pPr>
              <w:ind w:left="1260"/>
              <w:spacing w:after="0"/>
              <w:rPr>
                <w:sz w:val="20"/>
                <w:szCs w:val="20"/>
                <w:color w:val="auto"/>
              </w:rPr>
            </w:pPr>
            <w:r>
              <w:rPr>
                <w:rFonts w:ascii="Arial" w:cs="Arial" w:eastAsia="Arial" w:hAnsi="Arial"/>
                <w:sz w:val="18"/>
                <w:szCs w:val="18"/>
                <w:color w:val="auto"/>
              </w:rPr>
              <w:t>Directors</w:t>
            </w:r>
          </w:p>
        </w:tc>
        <w:tc>
          <w:tcPr>
            <w:tcW w:w="2660" w:type="dxa"/>
            <w:vAlign w:val="bottom"/>
            <w:gridSpan w:val="2"/>
          </w:tcPr>
          <w:p>
            <w:pPr>
              <w:ind w:left="1440"/>
              <w:spacing w:after="0"/>
              <w:rPr>
                <w:sz w:val="20"/>
                <w:szCs w:val="20"/>
                <w:color w:val="auto"/>
              </w:rPr>
            </w:pPr>
            <w:r>
              <w:rPr>
                <w:rFonts w:ascii="Arial" w:cs="Arial" w:eastAsia="Arial" w:hAnsi="Arial"/>
                <w:sz w:val="18"/>
                <w:szCs w:val="18"/>
                <w:color w:val="auto"/>
              </w:rPr>
              <w:t>FOR</w:t>
            </w:r>
          </w:p>
        </w:tc>
        <w:tc>
          <w:tcPr>
            <w:tcW w:w="2660" w:type="dxa"/>
            <w:vAlign w:val="bottom"/>
            <w:gridSpan w:val="2"/>
          </w:tcPr>
          <w:p>
            <w:pPr>
              <w:ind w:left="1120"/>
              <w:spacing w:after="0"/>
              <w:rPr>
                <w:sz w:val="20"/>
                <w:szCs w:val="20"/>
                <w:color w:val="auto"/>
              </w:rPr>
            </w:pPr>
            <w:r>
              <w:rPr>
                <w:rFonts w:ascii="Arial" w:cs="Arial" w:eastAsia="Arial" w:hAnsi="Arial"/>
                <w:sz w:val="18"/>
                <w:szCs w:val="18"/>
                <w:color w:val="auto"/>
              </w:rPr>
              <w:t>WITHHELD</w:t>
            </w:r>
          </w:p>
        </w:tc>
        <w:tc>
          <w:tcPr>
            <w:tcW w:w="2560" w:type="dxa"/>
            <w:vAlign w:val="bottom"/>
          </w:tcPr>
          <w:p>
            <w:pPr>
              <w:jc w:val="right"/>
              <w:spacing w:after="0"/>
              <w:rPr>
                <w:sz w:val="20"/>
                <w:szCs w:val="20"/>
                <w:color w:val="auto"/>
              </w:rPr>
            </w:pPr>
            <w:r>
              <w:rPr>
                <w:rFonts w:ascii="Arial" w:cs="Arial" w:eastAsia="Arial" w:hAnsi="Arial"/>
                <w:sz w:val="18"/>
                <w:szCs w:val="18"/>
                <w:color w:val="auto"/>
              </w:rPr>
              <w:t>BROKER NON-VOTES</w:t>
            </w:r>
          </w:p>
        </w:tc>
      </w:tr>
      <w:tr>
        <w:trPr>
          <w:trHeight w:val="223"/>
        </w:trPr>
        <w:tc>
          <w:tcPr>
            <w:tcW w:w="2540" w:type="dxa"/>
            <w:vAlign w:val="bottom"/>
            <w:tcBorders>
              <w:top w:val="single" w:sz="8" w:color="auto"/>
            </w:tcBorders>
            <w:shd w:val="clear" w:color="auto" w:fill="CCEEFF"/>
          </w:tcPr>
          <w:p>
            <w:pPr>
              <w:ind w:left="660"/>
              <w:spacing w:after="0"/>
              <w:rPr>
                <w:sz w:val="20"/>
                <w:szCs w:val="20"/>
                <w:color w:val="auto"/>
              </w:rPr>
            </w:pPr>
            <w:r>
              <w:rPr>
                <w:rFonts w:ascii="Arial" w:cs="Arial" w:eastAsia="Arial" w:hAnsi="Arial"/>
                <w:sz w:val="18"/>
                <w:szCs w:val="18"/>
                <w:color w:val="auto"/>
              </w:rPr>
              <w:t>Abner Kurtin</w:t>
            </w:r>
          </w:p>
        </w:tc>
        <w:tc>
          <w:tcPr>
            <w:tcW w:w="8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118,135,070</w:t>
            </w:r>
          </w:p>
        </w:tc>
        <w:tc>
          <w:tcPr>
            <w:tcW w:w="10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118,906</w:t>
            </w:r>
          </w:p>
        </w:tc>
        <w:tc>
          <w:tcPr>
            <w:tcW w:w="10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10,898,884</w:t>
            </w:r>
          </w:p>
        </w:tc>
      </w:tr>
      <w:tr>
        <w:trPr>
          <w:trHeight w:val="230"/>
        </w:trPr>
        <w:tc>
          <w:tcPr>
            <w:tcW w:w="2620" w:type="dxa"/>
            <w:vAlign w:val="bottom"/>
            <w:gridSpan w:val="2"/>
          </w:tcPr>
          <w:p>
            <w:pPr>
              <w:ind w:left="660"/>
              <w:spacing w:after="0"/>
              <w:rPr>
                <w:sz w:val="20"/>
                <w:szCs w:val="20"/>
                <w:color w:val="auto"/>
              </w:rPr>
            </w:pPr>
            <w:r>
              <w:rPr>
                <w:rFonts w:ascii="Arial" w:cs="Arial" w:eastAsia="Arial" w:hAnsi="Arial"/>
                <w:sz w:val="18"/>
                <w:szCs w:val="18"/>
                <w:color w:val="auto"/>
              </w:rPr>
              <w:t>Joseph Hinrichs</w:t>
            </w:r>
          </w:p>
        </w:tc>
        <w:tc>
          <w:tcPr>
            <w:tcW w:w="2560" w:type="dxa"/>
            <w:vAlign w:val="bottom"/>
          </w:tcPr>
          <w:p>
            <w:pPr>
              <w:jc w:val="right"/>
              <w:spacing w:after="0"/>
              <w:rPr>
                <w:sz w:val="20"/>
                <w:szCs w:val="20"/>
                <w:color w:val="auto"/>
              </w:rPr>
            </w:pPr>
            <w:r>
              <w:rPr>
                <w:rFonts w:ascii="Arial" w:cs="Arial" w:eastAsia="Arial" w:hAnsi="Arial"/>
                <w:sz w:val="18"/>
                <w:szCs w:val="18"/>
                <w:color w:val="auto"/>
              </w:rPr>
              <w:t>118,069,316</w:t>
            </w:r>
          </w:p>
        </w:tc>
        <w:tc>
          <w:tcPr>
            <w:tcW w:w="100" w:type="dxa"/>
            <w:vAlign w:val="bottom"/>
          </w:tcPr>
          <w:p>
            <w:pPr>
              <w:spacing w:after="0"/>
              <w:rPr>
                <w:sz w:val="19"/>
                <w:szCs w:val="19"/>
                <w:color w:val="auto"/>
              </w:rPr>
            </w:pPr>
          </w:p>
        </w:tc>
        <w:tc>
          <w:tcPr>
            <w:tcW w:w="2560" w:type="dxa"/>
            <w:vAlign w:val="bottom"/>
          </w:tcPr>
          <w:p>
            <w:pPr>
              <w:jc w:val="right"/>
              <w:spacing w:after="0"/>
              <w:rPr>
                <w:sz w:val="20"/>
                <w:szCs w:val="20"/>
                <w:color w:val="auto"/>
              </w:rPr>
            </w:pPr>
            <w:r>
              <w:rPr>
                <w:rFonts w:ascii="Arial" w:cs="Arial" w:eastAsia="Arial" w:hAnsi="Arial"/>
                <w:sz w:val="18"/>
                <w:szCs w:val="18"/>
                <w:color w:val="auto"/>
              </w:rPr>
              <w:t>184,660</w:t>
            </w:r>
          </w:p>
        </w:tc>
        <w:tc>
          <w:tcPr>
            <w:tcW w:w="100" w:type="dxa"/>
            <w:vAlign w:val="bottom"/>
          </w:tcPr>
          <w:p>
            <w:pPr>
              <w:spacing w:after="0"/>
              <w:rPr>
                <w:sz w:val="19"/>
                <w:szCs w:val="19"/>
                <w:color w:val="auto"/>
              </w:rPr>
            </w:pPr>
          </w:p>
        </w:tc>
        <w:tc>
          <w:tcPr>
            <w:tcW w:w="2560" w:type="dxa"/>
            <w:vAlign w:val="bottom"/>
          </w:tcPr>
          <w:p>
            <w:pPr>
              <w:jc w:val="right"/>
              <w:spacing w:after="0"/>
              <w:rPr>
                <w:sz w:val="20"/>
                <w:szCs w:val="20"/>
                <w:color w:val="auto"/>
              </w:rPr>
            </w:pPr>
            <w:r>
              <w:rPr>
                <w:rFonts w:ascii="Arial" w:cs="Arial" w:eastAsia="Arial" w:hAnsi="Arial"/>
                <w:sz w:val="18"/>
                <w:szCs w:val="18"/>
                <w:color w:val="auto"/>
              </w:rPr>
              <w:t>10,898,884</w:t>
            </w:r>
          </w:p>
        </w:tc>
      </w:tr>
      <w:tr>
        <w:trPr>
          <w:trHeight w:val="230"/>
        </w:trPr>
        <w:tc>
          <w:tcPr>
            <w:tcW w:w="262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rPr>
              <w:t>Emily Paxhia</w:t>
            </w: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118,137,817</w:t>
            </w:r>
          </w:p>
        </w:tc>
        <w:tc>
          <w:tcPr>
            <w:tcW w:w="100" w:type="dxa"/>
            <w:vAlign w:val="bottom"/>
            <w:shd w:val="clear" w:color="auto" w:fill="CCEEFF"/>
          </w:tcPr>
          <w:p>
            <w:pPr>
              <w:spacing w:after="0"/>
              <w:rPr>
                <w:sz w:val="19"/>
                <w:szCs w:val="19"/>
                <w:color w:val="auto"/>
              </w:rPr>
            </w:pP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116,159</w:t>
            </w:r>
          </w:p>
        </w:tc>
        <w:tc>
          <w:tcPr>
            <w:tcW w:w="100" w:type="dxa"/>
            <w:vAlign w:val="bottom"/>
            <w:shd w:val="clear" w:color="auto" w:fill="CCEEFF"/>
          </w:tcPr>
          <w:p>
            <w:pPr>
              <w:spacing w:after="0"/>
              <w:rPr>
                <w:sz w:val="19"/>
                <w:szCs w:val="19"/>
                <w:color w:val="auto"/>
              </w:rPr>
            </w:pP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10,898,884</w:t>
            </w:r>
          </w:p>
        </w:tc>
      </w:tr>
      <w:tr>
        <w:trPr>
          <w:trHeight w:val="229"/>
        </w:trPr>
        <w:tc>
          <w:tcPr>
            <w:tcW w:w="2620" w:type="dxa"/>
            <w:vAlign w:val="bottom"/>
            <w:gridSpan w:val="2"/>
          </w:tcPr>
          <w:p>
            <w:pPr>
              <w:ind w:left="660"/>
              <w:spacing w:after="0"/>
              <w:rPr>
                <w:sz w:val="20"/>
                <w:szCs w:val="20"/>
                <w:color w:val="auto"/>
              </w:rPr>
            </w:pPr>
            <w:r>
              <w:rPr>
                <w:rFonts w:ascii="Arial" w:cs="Arial" w:eastAsia="Arial" w:hAnsi="Arial"/>
                <w:sz w:val="18"/>
                <w:szCs w:val="18"/>
                <w:color w:val="auto"/>
              </w:rPr>
              <w:t>Francis Perullo</w:t>
            </w:r>
          </w:p>
        </w:tc>
        <w:tc>
          <w:tcPr>
            <w:tcW w:w="2560" w:type="dxa"/>
            <w:vAlign w:val="bottom"/>
          </w:tcPr>
          <w:p>
            <w:pPr>
              <w:jc w:val="right"/>
              <w:spacing w:after="0"/>
              <w:rPr>
                <w:sz w:val="20"/>
                <w:szCs w:val="20"/>
                <w:color w:val="auto"/>
              </w:rPr>
            </w:pPr>
            <w:r>
              <w:rPr>
                <w:rFonts w:ascii="Arial" w:cs="Arial" w:eastAsia="Arial" w:hAnsi="Arial"/>
                <w:sz w:val="18"/>
                <w:szCs w:val="18"/>
                <w:color w:val="auto"/>
              </w:rPr>
              <w:t>118,120,054</w:t>
            </w:r>
          </w:p>
        </w:tc>
        <w:tc>
          <w:tcPr>
            <w:tcW w:w="100" w:type="dxa"/>
            <w:vAlign w:val="bottom"/>
          </w:tcPr>
          <w:p>
            <w:pPr>
              <w:spacing w:after="0"/>
              <w:rPr>
                <w:sz w:val="19"/>
                <w:szCs w:val="19"/>
                <w:color w:val="auto"/>
              </w:rPr>
            </w:pPr>
          </w:p>
        </w:tc>
        <w:tc>
          <w:tcPr>
            <w:tcW w:w="2560" w:type="dxa"/>
            <w:vAlign w:val="bottom"/>
          </w:tcPr>
          <w:p>
            <w:pPr>
              <w:jc w:val="right"/>
              <w:spacing w:after="0"/>
              <w:rPr>
                <w:sz w:val="20"/>
                <w:szCs w:val="20"/>
                <w:color w:val="auto"/>
              </w:rPr>
            </w:pPr>
            <w:r>
              <w:rPr>
                <w:rFonts w:ascii="Arial" w:cs="Arial" w:eastAsia="Arial" w:hAnsi="Arial"/>
                <w:sz w:val="18"/>
                <w:szCs w:val="18"/>
                <w:color w:val="auto"/>
              </w:rPr>
              <w:t>133,922</w:t>
            </w:r>
          </w:p>
        </w:tc>
        <w:tc>
          <w:tcPr>
            <w:tcW w:w="100" w:type="dxa"/>
            <w:vAlign w:val="bottom"/>
          </w:tcPr>
          <w:p>
            <w:pPr>
              <w:spacing w:after="0"/>
              <w:rPr>
                <w:sz w:val="19"/>
                <w:szCs w:val="19"/>
                <w:color w:val="auto"/>
              </w:rPr>
            </w:pPr>
          </w:p>
        </w:tc>
        <w:tc>
          <w:tcPr>
            <w:tcW w:w="2560" w:type="dxa"/>
            <w:vAlign w:val="bottom"/>
          </w:tcPr>
          <w:p>
            <w:pPr>
              <w:jc w:val="right"/>
              <w:spacing w:after="0"/>
              <w:rPr>
                <w:sz w:val="20"/>
                <w:szCs w:val="20"/>
                <w:color w:val="auto"/>
              </w:rPr>
            </w:pPr>
            <w:r>
              <w:rPr>
                <w:rFonts w:ascii="Arial" w:cs="Arial" w:eastAsia="Arial" w:hAnsi="Arial"/>
                <w:sz w:val="18"/>
                <w:szCs w:val="18"/>
                <w:color w:val="auto"/>
              </w:rPr>
              <w:t>10,898,884</w:t>
            </w:r>
          </w:p>
        </w:tc>
      </w:tr>
      <w:tr>
        <w:trPr>
          <w:trHeight w:val="230"/>
        </w:trPr>
        <w:tc>
          <w:tcPr>
            <w:tcW w:w="262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rPr>
              <w:t>Scott Swid</w:t>
            </w: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118,069,206</w:t>
            </w:r>
          </w:p>
        </w:tc>
        <w:tc>
          <w:tcPr>
            <w:tcW w:w="100" w:type="dxa"/>
            <w:vAlign w:val="bottom"/>
            <w:shd w:val="clear" w:color="auto" w:fill="CCEEFF"/>
          </w:tcPr>
          <w:p>
            <w:pPr>
              <w:spacing w:after="0"/>
              <w:rPr>
                <w:sz w:val="19"/>
                <w:szCs w:val="19"/>
                <w:color w:val="auto"/>
              </w:rPr>
            </w:pP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184,770</w:t>
            </w:r>
          </w:p>
        </w:tc>
        <w:tc>
          <w:tcPr>
            <w:tcW w:w="100" w:type="dxa"/>
            <w:vAlign w:val="bottom"/>
            <w:shd w:val="clear" w:color="auto" w:fill="CCEEFF"/>
          </w:tcPr>
          <w:p>
            <w:pPr>
              <w:spacing w:after="0"/>
              <w:rPr>
                <w:sz w:val="19"/>
                <w:szCs w:val="19"/>
                <w:color w:val="auto"/>
              </w:rPr>
            </w:pPr>
          </w:p>
        </w:tc>
        <w:tc>
          <w:tcPr>
            <w:tcW w:w="2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10,898,884</w:t>
            </w: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Proposal 2: Ratification of Appointment of Independent Registered Public Accounting Firm for 2022</w:t>
      </w:r>
    </w:p>
    <w:p>
      <w:pPr>
        <w:spacing w:after="0" w:line="17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appointment of Macias Gini &amp; O'Connell LLP to serve as the Company’s independent registered public accounting firm for the fiscal year ending December 31, 2022 was ratified based on the following votes:</w:t>
      </w:r>
    </w:p>
    <w:p>
      <w:pPr>
        <w:spacing w:after="0" w:line="157"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2640" w:type="dxa"/>
            <w:vAlign w:val="bottom"/>
            <w:gridSpan w:val="2"/>
          </w:tcPr>
          <w:p>
            <w:pPr>
              <w:ind w:left="1420"/>
              <w:spacing w:after="0"/>
              <w:rPr>
                <w:sz w:val="20"/>
                <w:szCs w:val="20"/>
                <w:color w:val="auto"/>
              </w:rPr>
            </w:pPr>
            <w:r>
              <w:rPr>
                <w:rFonts w:ascii="Arial" w:cs="Arial" w:eastAsia="Arial" w:hAnsi="Arial"/>
                <w:sz w:val="18"/>
                <w:szCs w:val="18"/>
                <w:color w:val="auto"/>
              </w:rPr>
              <w:t>FOR</w:t>
            </w:r>
          </w:p>
        </w:tc>
        <w:tc>
          <w:tcPr>
            <w:tcW w:w="2640" w:type="dxa"/>
            <w:vAlign w:val="bottom"/>
            <w:gridSpan w:val="2"/>
          </w:tcPr>
          <w:p>
            <w:pPr>
              <w:ind w:left="1200"/>
              <w:spacing w:after="0"/>
              <w:rPr>
                <w:sz w:val="20"/>
                <w:szCs w:val="20"/>
                <w:color w:val="auto"/>
              </w:rPr>
            </w:pPr>
            <w:r>
              <w:rPr>
                <w:rFonts w:ascii="Arial" w:cs="Arial" w:eastAsia="Arial" w:hAnsi="Arial"/>
                <w:sz w:val="18"/>
                <w:szCs w:val="18"/>
                <w:color w:val="auto"/>
              </w:rPr>
              <w:t>AGAINST</w:t>
            </w:r>
          </w:p>
        </w:tc>
        <w:tc>
          <w:tcPr>
            <w:tcW w:w="2660" w:type="dxa"/>
            <w:vAlign w:val="bottom"/>
            <w:gridSpan w:val="2"/>
          </w:tcPr>
          <w:p>
            <w:pPr>
              <w:ind w:left="1220"/>
              <w:spacing w:after="0"/>
              <w:rPr>
                <w:sz w:val="20"/>
                <w:szCs w:val="20"/>
                <w:color w:val="auto"/>
              </w:rPr>
            </w:pPr>
            <w:r>
              <w:rPr>
                <w:rFonts w:ascii="Arial" w:cs="Arial" w:eastAsia="Arial" w:hAnsi="Arial"/>
                <w:sz w:val="18"/>
                <w:szCs w:val="18"/>
                <w:color w:val="auto"/>
              </w:rPr>
              <w:t>ABSTAIN</w:t>
            </w:r>
          </w:p>
        </w:tc>
        <w:tc>
          <w:tcPr>
            <w:tcW w:w="2560" w:type="dxa"/>
            <w:vAlign w:val="bottom"/>
          </w:tcPr>
          <w:p>
            <w:pPr>
              <w:jc w:val="right"/>
              <w:spacing w:after="0"/>
              <w:rPr>
                <w:sz w:val="20"/>
                <w:szCs w:val="20"/>
                <w:color w:val="auto"/>
              </w:rPr>
            </w:pPr>
            <w:r>
              <w:rPr>
                <w:rFonts w:ascii="Arial" w:cs="Arial" w:eastAsia="Arial" w:hAnsi="Arial"/>
                <w:sz w:val="18"/>
                <w:szCs w:val="18"/>
                <w:color w:val="auto"/>
              </w:rPr>
              <w:t>BROKER NON-VOTES</w:t>
            </w:r>
          </w:p>
        </w:tc>
      </w:tr>
      <w:tr>
        <w:trPr>
          <w:trHeight w:val="223"/>
        </w:trPr>
        <w:tc>
          <w:tcPr>
            <w:tcW w:w="2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127,988,846</w:t>
            </w:r>
          </w:p>
        </w:tc>
        <w:tc>
          <w:tcPr>
            <w:tcW w:w="10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428,944</w:t>
            </w:r>
          </w:p>
        </w:tc>
        <w:tc>
          <w:tcPr>
            <w:tcW w:w="8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735,070</w:t>
            </w:r>
          </w:p>
        </w:tc>
        <w:tc>
          <w:tcPr>
            <w:tcW w:w="10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5960" w:type="dxa"/>
            <w:vAlign w:val="bottom"/>
            <w:tcBorders>
              <w:bottom w:val="single" w:sz="8" w:color="auto"/>
            </w:tcBorders>
            <w:gridSpan w:val="6"/>
          </w:tcPr>
          <w:p>
            <w:pPr>
              <w:spacing w:after="0"/>
              <w:rPr>
                <w:sz w:val="20"/>
                <w:szCs w:val="20"/>
                <w:color w:val="auto"/>
              </w:rPr>
            </w:pPr>
            <w:r>
              <w:rPr>
                <w:rFonts w:ascii="Arial" w:cs="Arial" w:eastAsia="Arial" w:hAnsi="Arial"/>
                <w:sz w:val="18"/>
                <w:szCs w:val="18"/>
                <w:color w:val="auto"/>
                <w:w w:val="91"/>
              </w:rPr>
              <w:t>Proposal 3: Approval of the adoption of the Company’s 2021 Stock Incentive Plan</w:t>
            </w:r>
          </w:p>
        </w:tc>
        <w:tc>
          <w:tcPr>
            <w:tcW w:w="960" w:type="dxa"/>
            <w:vAlign w:val="bottom"/>
            <w:gridSpan w:val="2"/>
          </w:tcPr>
          <w:p>
            <w:pPr>
              <w:spacing w:after="0"/>
              <w:rPr>
                <w:sz w:val="17"/>
                <w:szCs w:val="17"/>
                <w:color w:val="auto"/>
              </w:rPr>
            </w:pP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100" w:type="dxa"/>
            <w:vAlign w:val="bottom"/>
          </w:tcPr>
          <w:p>
            <w:pPr>
              <w:spacing w:after="0"/>
              <w:rPr>
                <w:sz w:val="17"/>
                <w:szCs w:val="17"/>
                <w:color w:val="auto"/>
              </w:rPr>
            </w:pPr>
          </w:p>
        </w:tc>
      </w:tr>
      <w:tr>
        <w:trPr>
          <w:trHeight w:val="398"/>
        </w:trPr>
        <w:tc>
          <w:tcPr>
            <w:tcW w:w="660" w:type="dxa"/>
            <w:vAlign w:val="bottom"/>
          </w:tcPr>
          <w:p>
            <w:pPr>
              <w:spacing w:after="0"/>
              <w:rPr>
                <w:sz w:val="24"/>
                <w:szCs w:val="24"/>
                <w:color w:val="auto"/>
              </w:rPr>
            </w:pPr>
          </w:p>
        </w:tc>
        <w:tc>
          <w:tcPr>
            <w:tcW w:w="8400" w:type="dxa"/>
            <w:vAlign w:val="bottom"/>
            <w:gridSpan w:val="10"/>
          </w:tcPr>
          <w:p>
            <w:pPr>
              <w:spacing w:after="0"/>
              <w:rPr>
                <w:sz w:val="20"/>
                <w:szCs w:val="20"/>
                <w:color w:val="auto"/>
              </w:rPr>
            </w:pPr>
            <w:r>
              <w:rPr>
                <w:rFonts w:ascii="Arial" w:cs="Arial" w:eastAsia="Arial" w:hAnsi="Arial"/>
                <w:sz w:val="18"/>
                <w:szCs w:val="18"/>
                <w:color w:val="auto"/>
              </w:rPr>
              <w:t>The adoption of the Company’s 2021 Stock Incentive Plan was approved based on the following votes:</w:t>
            </w:r>
          </w:p>
        </w:tc>
        <w:tc>
          <w:tcPr>
            <w:tcW w:w="2100" w:type="dxa"/>
            <w:vAlign w:val="bottom"/>
          </w:tcPr>
          <w:p>
            <w:pPr>
              <w:spacing w:after="0"/>
              <w:rPr>
                <w:sz w:val="24"/>
                <w:szCs w:val="24"/>
                <w:color w:val="auto"/>
              </w:rPr>
            </w:pPr>
          </w:p>
        </w:tc>
      </w:tr>
      <w:tr>
        <w:trPr>
          <w:trHeight w:val="418"/>
        </w:trPr>
        <w:tc>
          <w:tcPr>
            <w:tcW w:w="660" w:type="dxa"/>
            <w:vAlign w:val="bottom"/>
          </w:tcPr>
          <w:p>
            <w:pPr>
              <w:spacing w:after="0"/>
              <w:rPr>
                <w:sz w:val="24"/>
                <w:szCs w:val="24"/>
                <w:color w:val="auto"/>
              </w:rPr>
            </w:pPr>
          </w:p>
        </w:tc>
        <w:tc>
          <w:tcPr>
            <w:tcW w:w="2620" w:type="dxa"/>
            <w:vAlign w:val="bottom"/>
            <w:gridSpan w:val="2"/>
          </w:tcPr>
          <w:p>
            <w:pPr>
              <w:ind w:left="1420"/>
              <w:spacing w:after="0"/>
              <w:rPr>
                <w:sz w:val="20"/>
                <w:szCs w:val="20"/>
                <w:color w:val="auto"/>
              </w:rPr>
            </w:pPr>
            <w:r>
              <w:rPr>
                <w:rFonts w:ascii="Arial" w:cs="Arial" w:eastAsia="Arial" w:hAnsi="Arial"/>
                <w:sz w:val="18"/>
                <w:szCs w:val="18"/>
                <w:color w:val="auto"/>
              </w:rPr>
              <w:t>FOR</w:t>
            </w:r>
          </w:p>
        </w:tc>
        <w:tc>
          <w:tcPr>
            <w:tcW w:w="3640" w:type="dxa"/>
            <w:vAlign w:val="bottom"/>
            <w:gridSpan w:val="5"/>
          </w:tcPr>
          <w:p>
            <w:pPr>
              <w:ind w:left="1220"/>
              <w:spacing w:after="0"/>
              <w:rPr>
                <w:sz w:val="20"/>
                <w:szCs w:val="20"/>
                <w:color w:val="auto"/>
              </w:rPr>
            </w:pPr>
            <w:r>
              <w:rPr>
                <w:rFonts w:ascii="Arial" w:cs="Arial" w:eastAsia="Arial" w:hAnsi="Arial"/>
                <w:sz w:val="18"/>
                <w:szCs w:val="18"/>
                <w:color w:val="auto"/>
              </w:rPr>
              <w:t>AGAINST</w:t>
            </w:r>
          </w:p>
        </w:tc>
        <w:tc>
          <w:tcPr>
            <w:tcW w:w="2140" w:type="dxa"/>
            <w:vAlign w:val="bottom"/>
            <w:gridSpan w:val="3"/>
          </w:tcPr>
          <w:p>
            <w:pPr>
              <w:ind w:left="240"/>
              <w:spacing w:after="0"/>
              <w:rPr>
                <w:sz w:val="20"/>
                <w:szCs w:val="20"/>
                <w:color w:val="auto"/>
              </w:rPr>
            </w:pPr>
            <w:r>
              <w:rPr>
                <w:rFonts w:ascii="Arial" w:cs="Arial" w:eastAsia="Arial" w:hAnsi="Arial"/>
                <w:sz w:val="18"/>
                <w:szCs w:val="18"/>
                <w:color w:val="auto"/>
              </w:rPr>
              <w:t>ABSTAIN</w:t>
            </w:r>
          </w:p>
        </w:tc>
        <w:tc>
          <w:tcPr>
            <w:tcW w:w="2100" w:type="dxa"/>
            <w:vAlign w:val="bottom"/>
          </w:tcPr>
          <w:p>
            <w:pPr>
              <w:jc w:val="right"/>
              <w:spacing w:after="0"/>
              <w:rPr>
                <w:sz w:val="20"/>
                <w:szCs w:val="20"/>
                <w:color w:val="auto"/>
              </w:rPr>
            </w:pPr>
            <w:r>
              <w:rPr>
                <w:rFonts w:ascii="Arial" w:cs="Arial" w:eastAsia="Arial" w:hAnsi="Arial"/>
                <w:sz w:val="18"/>
                <w:szCs w:val="18"/>
                <w:color w:val="auto"/>
              </w:rPr>
              <w:t>BROKER NON-VOTES</w:t>
            </w:r>
          </w:p>
        </w:tc>
      </w:tr>
      <w:tr>
        <w:trPr>
          <w:trHeight w:val="223"/>
        </w:trPr>
        <w:tc>
          <w:tcPr>
            <w:tcW w:w="660" w:type="dxa"/>
            <w:vAlign w:val="bottom"/>
          </w:tcPr>
          <w:p>
            <w:pPr>
              <w:spacing w:after="0"/>
              <w:rPr>
                <w:sz w:val="19"/>
                <w:szCs w:val="19"/>
                <w:color w:val="auto"/>
              </w:rPr>
            </w:pPr>
          </w:p>
        </w:tc>
        <w:tc>
          <w:tcPr>
            <w:tcW w:w="2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117,896,815</w:t>
            </w:r>
          </w:p>
        </w:tc>
        <w:tc>
          <w:tcPr>
            <w:tcW w:w="8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291,920</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65,241</w:t>
            </w:r>
          </w:p>
        </w:tc>
        <w:tc>
          <w:tcPr>
            <w:tcW w:w="10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2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10,898,884</w:t>
            </w:r>
          </w:p>
        </w:tc>
      </w:tr>
      <w:tr>
        <w:trPr>
          <w:trHeight w:val="432"/>
        </w:trPr>
        <w:tc>
          <w:tcPr>
            <w:tcW w:w="6700" w:type="dxa"/>
            <w:vAlign w:val="bottom"/>
            <w:tcBorders>
              <w:bottom w:val="single" w:sz="8" w:color="auto"/>
            </w:tcBorders>
            <w:gridSpan w:val="7"/>
          </w:tcPr>
          <w:p>
            <w:pPr>
              <w:spacing w:after="0"/>
              <w:rPr>
                <w:sz w:val="20"/>
                <w:szCs w:val="20"/>
                <w:color w:val="auto"/>
              </w:rPr>
            </w:pPr>
            <w:r>
              <w:rPr>
                <w:rFonts w:ascii="Arial" w:cs="Arial" w:eastAsia="Arial" w:hAnsi="Arial"/>
                <w:sz w:val="18"/>
                <w:szCs w:val="18"/>
                <w:color w:val="auto"/>
                <w:w w:val="90"/>
              </w:rPr>
              <w:t>Proposal 4: Approval of the adoption of the Company’s 2021 Employee Stock Purchase Plan</w:t>
            </w: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399"/>
        </w:trPr>
        <w:tc>
          <w:tcPr>
            <w:tcW w:w="660" w:type="dxa"/>
            <w:vAlign w:val="bottom"/>
          </w:tcPr>
          <w:p>
            <w:pPr>
              <w:spacing w:after="0"/>
              <w:rPr>
                <w:sz w:val="24"/>
                <w:szCs w:val="24"/>
                <w:color w:val="auto"/>
              </w:rPr>
            </w:pPr>
          </w:p>
        </w:tc>
        <w:tc>
          <w:tcPr>
            <w:tcW w:w="8400" w:type="dxa"/>
            <w:vAlign w:val="bottom"/>
            <w:gridSpan w:val="10"/>
          </w:tcPr>
          <w:p>
            <w:pPr>
              <w:spacing w:after="0"/>
              <w:rPr>
                <w:sz w:val="20"/>
                <w:szCs w:val="20"/>
                <w:color w:val="auto"/>
              </w:rPr>
            </w:pPr>
            <w:r>
              <w:rPr>
                <w:rFonts w:ascii="Arial" w:cs="Arial" w:eastAsia="Arial" w:hAnsi="Arial"/>
                <w:sz w:val="18"/>
                <w:szCs w:val="18"/>
                <w:color w:val="auto"/>
                <w:w w:val="92"/>
              </w:rPr>
              <w:t>The adoption of the Company’s 2021 Employee Stock Purchase Plan was approved based on the following votes:</w:t>
            </w:r>
          </w:p>
        </w:tc>
        <w:tc>
          <w:tcPr>
            <w:tcW w:w="2100" w:type="dxa"/>
            <w:vAlign w:val="bottom"/>
          </w:tcPr>
          <w:p>
            <w:pPr>
              <w:spacing w:after="0"/>
              <w:rPr>
                <w:sz w:val="24"/>
                <w:szCs w:val="24"/>
                <w:color w:val="auto"/>
              </w:rPr>
            </w:pPr>
          </w:p>
        </w:tc>
      </w:tr>
      <w:tr>
        <w:trPr>
          <w:trHeight w:val="418"/>
        </w:trPr>
        <w:tc>
          <w:tcPr>
            <w:tcW w:w="660" w:type="dxa"/>
            <w:vAlign w:val="bottom"/>
          </w:tcPr>
          <w:p>
            <w:pPr>
              <w:spacing w:after="0"/>
              <w:rPr>
                <w:sz w:val="24"/>
                <w:szCs w:val="24"/>
                <w:color w:val="auto"/>
              </w:rPr>
            </w:pPr>
          </w:p>
        </w:tc>
        <w:tc>
          <w:tcPr>
            <w:tcW w:w="2620" w:type="dxa"/>
            <w:vAlign w:val="bottom"/>
            <w:gridSpan w:val="2"/>
          </w:tcPr>
          <w:p>
            <w:pPr>
              <w:ind w:left="1420"/>
              <w:spacing w:after="0"/>
              <w:rPr>
                <w:sz w:val="20"/>
                <w:szCs w:val="20"/>
                <w:color w:val="auto"/>
              </w:rPr>
            </w:pPr>
            <w:r>
              <w:rPr>
                <w:rFonts w:ascii="Arial" w:cs="Arial" w:eastAsia="Arial" w:hAnsi="Arial"/>
                <w:sz w:val="18"/>
                <w:szCs w:val="18"/>
                <w:color w:val="auto"/>
              </w:rPr>
              <w:t>FOR</w:t>
            </w:r>
          </w:p>
        </w:tc>
        <w:tc>
          <w:tcPr>
            <w:tcW w:w="3640" w:type="dxa"/>
            <w:vAlign w:val="bottom"/>
            <w:gridSpan w:val="5"/>
          </w:tcPr>
          <w:p>
            <w:pPr>
              <w:ind w:left="1220"/>
              <w:spacing w:after="0"/>
              <w:rPr>
                <w:sz w:val="20"/>
                <w:szCs w:val="20"/>
                <w:color w:val="auto"/>
              </w:rPr>
            </w:pPr>
            <w:r>
              <w:rPr>
                <w:rFonts w:ascii="Arial" w:cs="Arial" w:eastAsia="Arial" w:hAnsi="Arial"/>
                <w:sz w:val="18"/>
                <w:szCs w:val="18"/>
                <w:color w:val="auto"/>
              </w:rPr>
              <w:t>AGAINST</w:t>
            </w:r>
          </w:p>
        </w:tc>
        <w:tc>
          <w:tcPr>
            <w:tcW w:w="2140" w:type="dxa"/>
            <w:vAlign w:val="bottom"/>
            <w:gridSpan w:val="3"/>
          </w:tcPr>
          <w:p>
            <w:pPr>
              <w:ind w:left="240"/>
              <w:spacing w:after="0"/>
              <w:rPr>
                <w:sz w:val="20"/>
                <w:szCs w:val="20"/>
                <w:color w:val="auto"/>
              </w:rPr>
            </w:pPr>
            <w:r>
              <w:rPr>
                <w:rFonts w:ascii="Arial" w:cs="Arial" w:eastAsia="Arial" w:hAnsi="Arial"/>
                <w:sz w:val="18"/>
                <w:szCs w:val="18"/>
                <w:color w:val="auto"/>
              </w:rPr>
              <w:t>ABSTAIN</w:t>
            </w:r>
          </w:p>
        </w:tc>
        <w:tc>
          <w:tcPr>
            <w:tcW w:w="2100" w:type="dxa"/>
            <w:vAlign w:val="bottom"/>
          </w:tcPr>
          <w:p>
            <w:pPr>
              <w:jc w:val="right"/>
              <w:spacing w:after="0"/>
              <w:rPr>
                <w:sz w:val="20"/>
                <w:szCs w:val="20"/>
                <w:color w:val="auto"/>
              </w:rPr>
            </w:pPr>
            <w:r>
              <w:rPr>
                <w:rFonts w:ascii="Arial" w:cs="Arial" w:eastAsia="Arial" w:hAnsi="Arial"/>
                <w:sz w:val="18"/>
                <w:szCs w:val="18"/>
                <w:color w:val="auto"/>
              </w:rPr>
              <w:t>BROKER NON-VOTES</w:t>
            </w:r>
          </w:p>
        </w:tc>
      </w:tr>
      <w:tr>
        <w:trPr>
          <w:trHeight w:val="223"/>
        </w:trPr>
        <w:tc>
          <w:tcPr>
            <w:tcW w:w="660" w:type="dxa"/>
            <w:vAlign w:val="bottom"/>
          </w:tcPr>
          <w:p>
            <w:pPr>
              <w:spacing w:after="0"/>
              <w:rPr>
                <w:sz w:val="19"/>
                <w:szCs w:val="19"/>
                <w:color w:val="auto"/>
              </w:rPr>
            </w:pPr>
          </w:p>
        </w:tc>
        <w:tc>
          <w:tcPr>
            <w:tcW w:w="2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118,122,661</w:t>
            </w:r>
          </w:p>
        </w:tc>
        <w:tc>
          <w:tcPr>
            <w:tcW w:w="80" w:type="dxa"/>
            <w:vAlign w:val="bottom"/>
            <w:tcBorders>
              <w:top w:val="single" w:sz="8" w:color="CCEEFF"/>
            </w:tcBorders>
            <w:shd w:val="clear" w:color="auto" w:fill="CCEEFF"/>
          </w:tcPr>
          <w:p>
            <w:pPr>
              <w:spacing w:after="0"/>
              <w:rPr>
                <w:sz w:val="19"/>
                <w:szCs w:val="19"/>
                <w:color w:val="auto"/>
              </w:rPr>
            </w:pPr>
          </w:p>
        </w:tc>
        <w:tc>
          <w:tcPr>
            <w:tcW w:w="2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104,567</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26,748</w:t>
            </w:r>
          </w:p>
        </w:tc>
        <w:tc>
          <w:tcPr>
            <w:tcW w:w="10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2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10,898,884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1404" w:right="419" w:bottom="1440" w:gutter="0" w:footer="0" w:header="0"/>
        </w:sectPr>
      </w:pPr>
    </w:p>
    <w:bookmarkStart w:id="3" w:name="page4"/>
    <w:bookmarkEnd w:id="3"/>
    <w:p>
      <w:pPr>
        <w:jc w:val="center"/>
        <w:ind w:right="-39"/>
        <w:spacing w:after="0"/>
        <w:rPr>
          <w:sz w:val="20"/>
          <w:szCs w:val="20"/>
          <w:color w:val="auto"/>
        </w:rPr>
      </w:pPr>
      <w:r>
        <w:rPr>
          <w:rFonts w:ascii="Arial" w:cs="Arial" w:eastAsia="Arial" w:hAnsi="Arial"/>
          <w:sz w:val="18"/>
          <w:szCs w:val="18"/>
          <w:b w:val="1"/>
          <w:bCs w:val="1"/>
          <w:color w:val="auto"/>
        </w:rPr>
        <w:t>SIGNATURE</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47" w:lineRule="exact"/>
        <w:rPr>
          <w:sz w:val="20"/>
          <w:szCs w:val="20"/>
          <w:color w:val="auto"/>
        </w:rPr>
      </w:pPr>
    </w:p>
    <w:p>
      <w:pPr>
        <w:ind w:left="7060"/>
        <w:spacing w:after="0"/>
        <w:rPr>
          <w:sz w:val="20"/>
          <w:szCs w:val="20"/>
          <w:color w:val="auto"/>
        </w:rPr>
      </w:pPr>
      <w:r>
        <w:rPr>
          <w:rFonts w:ascii="Arial" w:cs="Arial" w:eastAsia="Arial" w:hAnsi="Arial"/>
          <w:sz w:val="18"/>
          <w:szCs w:val="18"/>
          <w:b w:val="1"/>
          <w:bCs w:val="1"/>
          <w:color w:val="auto"/>
        </w:rPr>
        <w:t>Ascend Wellness Holdings, Inc.</w:t>
      </w:r>
    </w:p>
    <w:p>
      <w:pPr>
        <w:spacing w:after="0" w:line="202" w:lineRule="exact"/>
        <w:rPr>
          <w:sz w:val="20"/>
          <w:szCs w:val="20"/>
          <w:color w:val="auto"/>
        </w:rPr>
      </w:pPr>
    </w:p>
    <w:p>
      <w:pPr>
        <w:ind w:left="20"/>
        <w:spacing w:after="0"/>
        <w:tabs>
          <w:tab w:leader="none" w:pos="7040" w:val="left"/>
        </w:tabs>
        <w:rPr>
          <w:sz w:val="20"/>
          <w:szCs w:val="20"/>
          <w:color w:val="auto"/>
        </w:rPr>
      </w:pPr>
      <w:r>
        <w:rPr>
          <w:rFonts w:ascii="Arial" w:cs="Arial" w:eastAsia="Arial" w:hAnsi="Arial"/>
          <w:sz w:val="18"/>
          <w:szCs w:val="18"/>
          <w:u w:val="single" w:color="auto"/>
          <w:color w:val="auto"/>
        </w:rPr>
        <w:t>May 11, 2022</w:t>
      </w:r>
      <w:r>
        <w:rPr>
          <w:sz w:val="20"/>
          <w:szCs w:val="20"/>
          <w:color w:val="auto"/>
        </w:rPr>
        <w:tab/>
      </w:r>
      <w:r>
        <w:rPr>
          <w:rFonts w:ascii="Arial" w:cs="Arial" w:eastAsia="Arial" w:hAnsi="Arial"/>
          <w:sz w:val="16"/>
          <w:szCs w:val="16"/>
          <w:u w:val="single" w:color="auto"/>
          <w:color w:val="auto"/>
        </w:rPr>
        <w:t>/s/ Daniel Neville</w:t>
      </w:r>
    </w:p>
    <w:p>
      <w:pPr>
        <w:spacing w:after="0" w:line="90"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Daniel Neville</w:t>
      </w:r>
    </w:p>
    <w:p>
      <w:pPr>
        <w:spacing w:after="0" w:line="23"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sectPr>
      <w:pgSz w:w="11900" w:h="16838" w:orient="portrait"/>
      <w:cols w:equalWidth="0" w:num="1">
        <w:col w:w="11200"/>
      </w:cols>
      <w:pgMar w:left="320" w:top="141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2022-05-11T15:45:16Z</dcterms:created>
  <dcterms:modified xsi:type="dcterms:W3CDTF">2022-05-11T15:45:16Z</dcterms:modified>
</cp:coreProperties>
</file>